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6F2" w:rsidRDefault="009056F2" w:rsidP="009056F2">
      <w:pPr>
        <w:spacing w:after="200"/>
        <w:jc w:val="both"/>
      </w:pPr>
      <w:bookmarkStart w:id="0" w:name="_GoBack"/>
      <w:bookmarkEnd w:id="0"/>
      <w:r w:rsidRPr="009056F2">
        <w:t>1-) Kaynak işlemi sırasında oluşabilecek bir yangın ihtimaline karşı önceden en yakın yangın söndürme tüpünün yerini öğreniniz. Yangın oluşması durumunda makinanın yakınında bulunan uygun yangın söndürme tüpü ile söndürme işlemini yapınız. Mümkünse söndürme işlemini iş ekipmanının elektriğini kestikten sonra yapınız.</w:t>
      </w:r>
    </w:p>
    <w:p w:rsidR="009056F2" w:rsidRDefault="009056F2" w:rsidP="009056F2">
      <w:pPr>
        <w:spacing w:after="200"/>
        <w:jc w:val="both"/>
      </w:pPr>
      <w:r w:rsidRPr="009056F2">
        <w:t>2-) Operasyon sırasında kullanılan ağır malzemelerin taşınması sırasında mümkün mertebe vücudunuzla değil, kaldırma ekipmanları ile taşımayı tercih ediniz. Kaldırma işlemi sırasında yükü dengeli bir biçimde taşıyınız. Yükün devrilme riski olan alanda bulunmayınız ve uzak durunuz.</w:t>
      </w:r>
    </w:p>
    <w:p w:rsidR="009056F2" w:rsidRDefault="009056F2" w:rsidP="009056F2">
      <w:pPr>
        <w:spacing w:after="200"/>
        <w:jc w:val="both"/>
      </w:pPr>
      <w:r w:rsidRPr="009056F2">
        <w:t>3-) İş ekipmanında oluşan her türlü arızayı işveren vekiline bildiriniz. Bakım onarım konusunda mesleki yeterliliğiniz yok ise bakım onarım işi yapmayınız. İş ekipmanını arızalı bir şekilde kullanmaya devam etmeyiniz. Bakım onarım konusunda mesleki yeterliliğe sahip veya üretici firma ile iletişime geçiniz.</w:t>
      </w:r>
    </w:p>
    <w:p w:rsidR="009056F2" w:rsidRDefault="009056F2" w:rsidP="009056F2">
      <w:pPr>
        <w:spacing w:after="200"/>
        <w:jc w:val="both"/>
      </w:pPr>
      <w:r w:rsidRPr="009056F2">
        <w:t xml:space="preserve">4-) Herhangi bir malzemeyi söndürme ekipmanının görülmesini veya ulaşılmasını engelleyecek nitelikte istiflemeyiniz. Acil çıkış kapısının çevresine ve bu kapıya ulaşıma sağlayan yola malzeme istiflemeyiniz.  </w:t>
      </w:r>
    </w:p>
    <w:p w:rsidR="009056F2" w:rsidRDefault="009056F2" w:rsidP="009056F2">
      <w:pPr>
        <w:spacing w:after="200"/>
        <w:jc w:val="both"/>
      </w:pPr>
      <w:r w:rsidRPr="009056F2">
        <w:t>5-) İş ekipmanın bağlı olduğu elektrik panosuna acil durdurma sebebi haricinde hiçbir şekilde müdahale etmeyiniz. İş ekipmanın elektrik kablo ve tesisatına zarar vermeyiniz. Elektrik kablolarında hasar olması durumunda durumu işveren vekiline bildiriniz. Elektrik konusunda mesleki yeterliliğe sahip kişiler hariç elektrik tesisatına müdahale yasaktır. Elektrik panolarının önüne malzeme istiflemeyiniz.</w:t>
      </w:r>
    </w:p>
    <w:p w:rsidR="009056F2" w:rsidRDefault="009056F2" w:rsidP="009056F2">
      <w:pPr>
        <w:spacing w:after="200"/>
        <w:jc w:val="both"/>
      </w:pPr>
      <w:r w:rsidRPr="009056F2">
        <w:t xml:space="preserve">6-) İş ekipmanı ile çalışırken tüm dikkatinizi iş ekipmanına veriniz. Bir başka kişinin makineyi kurcalamasına veya kontrolsüz müdahalesine izin vermeyiniz. </w:t>
      </w:r>
    </w:p>
    <w:p w:rsidR="009056F2" w:rsidRDefault="009056F2" w:rsidP="009056F2">
      <w:pPr>
        <w:spacing w:after="200"/>
        <w:jc w:val="both"/>
      </w:pPr>
      <w:r w:rsidRPr="009056F2">
        <w:t>7-) İş ekipmanı ile çalışırken cep telefonu ve benzeri başka elektronik cihazı kullanmayınız. Dikkatinizi iş ekipmanına ve operasyona veriniz.</w:t>
      </w:r>
    </w:p>
    <w:p w:rsidR="009056F2" w:rsidRDefault="009056F2" w:rsidP="009056F2">
      <w:pPr>
        <w:spacing w:after="200"/>
        <w:jc w:val="both"/>
      </w:pPr>
      <w:r w:rsidRPr="009056F2">
        <w:t xml:space="preserve">8-) Yapacağınız her türlü iş için uygun iş ekipmanını kullanınız. İş ekipmanını amacı dışında kullanımı yasaktır. </w:t>
      </w:r>
    </w:p>
    <w:p w:rsidR="009056F2" w:rsidRDefault="009056F2" w:rsidP="009056F2">
      <w:pPr>
        <w:spacing w:after="200"/>
        <w:jc w:val="both"/>
      </w:pPr>
      <w:r w:rsidRPr="009056F2">
        <w:t>9-) İş ekipmanı için tasarlanmış cebri çekişli havalandırma sistemini operasyon sırasında mutlaka çalıştırınız.</w:t>
      </w:r>
    </w:p>
    <w:p w:rsidR="009056F2" w:rsidRDefault="009056F2" w:rsidP="009056F2">
      <w:pPr>
        <w:spacing w:after="200"/>
        <w:jc w:val="both"/>
      </w:pPr>
      <w:r w:rsidRPr="009056F2">
        <w:t>10-) Gaz tüpleri taşırken ve kullanırken devrilmemesi için uygun şekilde etrafını zincirle çeviriniz. Gaz tüplerini tüp arabasında taşıyınız. Vinçle veya yerde yuvarlayarak taşıma işlemi yapmayınız.</w:t>
      </w:r>
    </w:p>
    <w:p w:rsidR="009056F2" w:rsidRDefault="009056F2" w:rsidP="009056F2">
      <w:pPr>
        <w:spacing w:after="200"/>
        <w:jc w:val="both"/>
      </w:pPr>
      <w:r w:rsidRPr="009056F2">
        <w:t>11-) Tüm gaz tüplerini güneşin dik ışınlarına maruz kalamayacak noktalarda bulundurun ve kullanınız.</w:t>
      </w:r>
    </w:p>
    <w:p w:rsidR="009056F2" w:rsidRDefault="009056F2" w:rsidP="009056F2">
      <w:pPr>
        <w:spacing w:after="200"/>
        <w:jc w:val="both"/>
      </w:pPr>
      <w:r w:rsidRPr="009056F2">
        <w:t>12-) Tüplerin vanalarını açmak ve kapamak için hiçbir şekilde çekiç ve boru anahtarı kullanmayınız.</w:t>
      </w:r>
    </w:p>
    <w:p w:rsidR="009056F2" w:rsidRDefault="009056F2" w:rsidP="009056F2">
      <w:pPr>
        <w:spacing w:after="200"/>
        <w:jc w:val="both"/>
      </w:pPr>
      <w:r w:rsidRPr="009056F2">
        <w:t>13-) Tüplerin bulunduğu ortamda yanıcı veya yakıcı kimyasal maddeleri depolamayınız.</w:t>
      </w:r>
    </w:p>
    <w:p w:rsidR="009056F2" w:rsidRDefault="009056F2" w:rsidP="009056F2">
      <w:pPr>
        <w:spacing w:after="200"/>
        <w:jc w:val="both"/>
      </w:pPr>
      <w:r w:rsidRPr="009056F2">
        <w:t>14-) Dişleri aşınmış tüp ve/veya manometreyi kullanmayınız. Manometre kırık ise mutlaka değiştiriniz.</w:t>
      </w:r>
    </w:p>
    <w:p w:rsidR="009056F2" w:rsidRDefault="009056F2" w:rsidP="009056F2">
      <w:pPr>
        <w:spacing w:after="200"/>
        <w:jc w:val="both"/>
      </w:pPr>
      <w:r w:rsidRPr="009056F2">
        <w:t>15-) Tüpleri depoda duvara kelepçe veya zincirle tespit ediniz.</w:t>
      </w:r>
    </w:p>
    <w:p w:rsidR="009056F2" w:rsidRDefault="009056F2" w:rsidP="009056F2">
      <w:pPr>
        <w:spacing w:after="200"/>
        <w:jc w:val="both"/>
      </w:pPr>
      <w:r w:rsidRPr="009056F2">
        <w:t>16-) Yağlı tüplerle çalışmayınız. Eliniz yağlı iken tüpe dokunmayınız.</w:t>
      </w:r>
    </w:p>
    <w:p w:rsidR="009056F2" w:rsidRDefault="009056F2" w:rsidP="009056F2">
      <w:pPr>
        <w:spacing w:after="200"/>
        <w:jc w:val="both"/>
      </w:pPr>
      <w:r w:rsidRPr="009056F2">
        <w:t>17-) Geri tepme emniyet ventili olmadan gaz tüpleri ile çalışmayınız.</w:t>
      </w:r>
    </w:p>
    <w:p w:rsidR="009056F2" w:rsidRDefault="009056F2" w:rsidP="009056F2">
      <w:pPr>
        <w:spacing w:after="200"/>
        <w:jc w:val="both"/>
      </w:pPr>
      <w:r w:rsidRPr="009056F2">
        <w:t>18-) Enjektör tipi üfleçlerde, önce oksijen ventilini daha sonrada yanıcı tüp ventilini açınız.</w:t>
      </w:r>
    </w:p>
    <w:p w:rsidR="009056F2" w:rsidRDefault="009056F2" w:rsidP="009056F2">
      <w:pPr>
        <w:spacing w:after="200"/>
        <w:jc w:val="both"/>
      </w:pPr>
      <w:r w:rsidRPr="009056F2">
        <w:t>19-) Tüplerde kullanılan manometre ve regülâtörü mutlaka periydik olarak kontrol ediniz. İşe ara vereceğiniz zaman regülâtördeki basıncı düşürünüz.</w:t>
      </w:r>
    </w:p>
    <w:p w:rsidR="009056F2" w:rsidRDefault="009056F2" w:rsidP="009056F2">
      <w:pPr>
        <w:spacing w:after="200"/>
        <w:jc w:val="both"/>
      </w:pPr>
      <w:r w:rsidRPr="009056F2">
        <w:t>20-) Mecbur olmadıkça uzun hortum kullanmayınız. Yıpranmış ve hasar görmüş hortum kullanmayınız.</w:t>
      </w:r>
    </w:p>
    <w:p w:rsidR="009056F2" w:rsidRDefault="009056F2" w:rsidP="009056F2">
      <w:pPr>
        <w:spacing w:after="200"/>
        <w:jc w:val="both"/>
      </w:pPr>
      <w:r w:rsidRPr="009056F2">
        <w:t>21-) Kesilen malzemenin altında ayağınızı veya uzuvlarınızı bulundurmayınız.</w:t>
      </w:r>
    </w:p>
    <w:p w:rsidR="009056F2" w:rsidRDefault="009056F2" w:rsidP="009056F2">
      <w:pPr>
        <w:spacing w:after="200"/>
        <w:jc w:val="both"/>
      </w:pPr>
      <w:r w:rsidRPr="009056F2">
        <w:t>22-) Gaz tüpü değiştirirken, taşırken, kontrol ederken kesinlikle sigara içmeyiniz.</w:t>
      </w:r>
    </w:p>
    <w:p w:rsidR="009056F2" w:rsidRPr="009056F2" w:rsidRDefault="009056F2" w:rsidP="009056F2">
      <w:pPr>
        <w:spacing w:after="200"/>
        <w:jc w:val="both"/>
      </w:pPr>
    </w:p>
    <w:sectPr w:rsidR="009056F2" w:rsidRPr="009056F2" w:rsidSect="009056F2">
      <w:headerReference w:type="even" r:id="rId6"/>
      <w:headerReference w:type="default" r:id="rId7"/>
      <w:footerReference w:type="even" r:id="rId8"/>
      <w:footerReference w:type="default" r:id="rId9"/>
      <w:headerReference w:type="first" r:id="rId10"/>
      <w:footerReference w:type="first" r:id="rId11"/>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6F2" w:rsidRDefault="009056F2" w:rsidP="009056F2">
      <w:pPr>
        <w:spacing w:after="0" w:line="240" w:lineRule="auto"/>
      </w:pPr>
      <w:r>
        <w:separator/>
      </w:r>
    </w:p>
  </w:endnote>
  <w:endnote w:type="continuationSeparator" w:id="0">
    <w:p w:rsidR="009056F2" w:rsidRDefault="009056F2" w:rsidP="0090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6F2" w:rsidRDefault="009056F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5113"/>
      <w:gridCol w:w="5113"/>
    </w:tblGrid>
    <w:tr w:rsidR="009056F2" w:rsidTr="009056F2">
      <w:tblPrEx>
        <w:tblCellMar>
          <w:top w:w="0" w:type="dxa"/>
          <w:bottom w:w="0" w:type="dxa"/>
        </w:tblCellMar>
      </w:tblPrEx>
      <w:trPr>
        <w:trHeight w:val="280"/>
      </w:trPr>
      <w:tc>
        <w:tcPr>
          <w:tcW w:w="5113" w:type="dxa"/>
          <w:vAlign w:val="center"/>
        </w:tcPr>
        <w:p w:rsidR="009056F2" w:rsidRPr="009056F2" w:rsidRDefault="009056F2" w:rsidP="009056F2">
          <w:pPr>
            <w:pStyle w:val="Altbilgi"/>
            <w:jc w:val="center"/>
            <w:rPr>
              <w:b/>
            </w:rPr>
          </w:pPr>
          <w:r w:rsidRPr="009056F2">
            <w:rPr>
              <w:b/>
            </w:rPr>
            <w:t>Bülent BİLGİN</w:t>
          </w:r>
        </w:p>
      </w:tc>
      <w:tc>
        <w:tcPr>
          <w:tcW w:w="5113" w:type="dxa"/>
          <w:vAlign w:val="center"/>
        </w:tcPr>
        <w:p w:rsidR="009056F2" w:rsidRPr="009056F2" w:rsidRDefault="009056F2" w:rsidP="009056F2">
          <w:pPr>
            <w:pStyle w:val="Altbilgi"/>
            <w:jc w:val="center"/>
            <w:rPr>
              <w:b/>
            </w:rPr>
          </w:pPr>
          <w:r w:rsidRPr="009056F2">
            <w:rPr>
              <w:b/>
            </w:rPr>
            <w:t>Selim AYTAÇ</w:t>
          </w:r>
        </w:p>
      </w:tc>
    </w:tr>
    <w:tr w:rsidR="009056F2" w:rsidTr="009056F2">
      <w:tblPrEx>
        <w:tblCellMar>
          <w:top w:w="0" w:type="dxa"/>
          <w:bottom w:w="0" w:type="dxa"/>
        </w:tblCellMar>
      </w:tblPrEx>
      <w:trPr>
        <w:trHeight w:val="280"/>
      </w:trPr>
      <w:tc>
        <w:tcPr>
          <w:tcW w:w="5113" w:type="dxa"/>
          <w:vAlign w:val="center"/>
        </w:tcPr>
        <w:p w:rsidR="009056F2" w:rsidRDefault="009056F2" w:rsidP="009056F2">
          <w:pPr>
            <w:pStyle w:val="Altbilgi"/>
            <w:jc w:val="center"/>
          </w:pPr>
          <w:r>
            <w:t>İş Güvenliği Uzmanı</w:t>
          </w:r>
        </w:p>
      </w:tc>
      <w:tc>
        <w:tcPr>
          <w:tcW w:w="5113" w:type="dxa"/>
          <w:vAlign w:val="center"/>
        </w:tcPr>
        <w:p w:rsidR="009056F2" w:rsidRDefault="009056F2" w:rsidP="009056F2">
          <w:pPr>
            <w:pStyle w:val="Altbilgi"/>
            <w:jc w:val="center"/>
          </w:pPr>
          <w:r>
            <w:t>İşveren Vekili</w:t>
          </w:r>
        </w:p>
      </w:tc>
    </w:tr>
    <w:tr w:rsidR="009056F2" w:rsidTr="009056F2">
      <w:tblPrEx>
        <w:tblCellMar>
          <w:top w:w="0" w:type="dxa"/>
          <w:bottom w:w="0" w:type="dxa"/>
        </w:tblCellMar>
      </w:tblPrEx>
      <w:trPr>
        <w:trHeight w:val="1400"/>
      </w:trPr>
      <w:tc>
        <w:tcPr>
          <w:tcW w:w="5113" w:type="dxa"/>
          <w:tcBorders>
            <w:bottom w:val="single" w:sz="4" w:space="0" w:color="auto"/>
          </w:tcBorders>
        </w:tcPr>
        <w:p w:rsidR="009056F2" w:rsidRDefault="009056F2" w:rsidP="009056F2">
          <w:pPr>
            <w:pStyle w:val="Altbilgi"/>
            <w:jc w:val="center"/>
          </w:pPr>
          <w:r>
            <w:t>İmza</w:t>
          </w:r>
        </w:p>
      </w:tc>
      <w:tc>
        <w:tcPr>
          <w:tcW w:w="5113" w:type="dxa"/>
          <w:tcBorders>
            <w:bottom w:val="single" w:sz="4" w:space="0" w:color="auto"/>
          </w:tcBorders>
        </w:tcPr>
        <w:p w:rsidR="009056F2" w:rsidRDefault="009056F2" w:rsidP="009056F2">
          <w:pPr>
            <w:pStyle w:val="Altbilgi"/>
            <w:jc w:val="center"/>
          </w:pPr>
          <w:r>
            <w:t>İmza</w:t>
          </w:r>
        </w:p>
      </w:tc>
    </w:tr>
    <w:tr w:rsidR="009056F2" w:rsidTr="009056F2">
      <w:tblPrEx>
        <w:tblCellMar>
          <w:top w:w="0" w:type="dxa"/>
          <w:bottom w:w="0" w:type="dxa"/>
        </w:tblCellMar>
      </w:tblPrEx>
      <w:trPr>
        <w:trHeight w:val="280"/>
      </w:trPr>
      <w:tc>
        <w:tcPr>
          <w:tcW w:w="10226" w:type="dxa"/>
          <w:gridSpan w:val="2"/>
          <w:tcBorders>
            <w:top w:val="single" w:sz="4" w:space="0" w:color="auto"/>
            <w:left w:val="single" w:sz="4" w:space="0" w:color="auto"/>
            <w:right w:val="single" w:sz="4" w:space="0" w:color="auto"/>
          </w:tcBorders>
          <w:shd w:val="clear" w:color="auto" w:fill="auto"/>
          <w:vAlign w:val="center"/>
        </w:tcPr>
        <w:p w:rsidR="009056F2" w:rsidRPr="009056F2" w:rsidRDefault="009056F2" w:rsidP="009056F2">
          <w:pPr>
            <w:pStyle w:val="Altbilgi"/>
            <w:jc w:val="center"/>
            <w:rPr>
              <w:b/>
            </w:rPr>
          </w:pPr>
          <w:r w:rsidRPr="009056F2">
            <w:rPr>
              <w:b/>
            </w:rPr>
            <w:t>Ayyıldız Sac Profil Demir Çelik San. ve Tic. Ltd. Şti.</w:t>
          </w:r>
        </w:p>
      </w:tc>
    </w:tr>
    <w:tr w:rsidR="009056F2" w:rsidTr="009056F2">
      <w:tblPrEx>
        <w:tblCellMar>
          <w:top w:w="0" w:type="dxa"/>
          <w:bottom w:w="0" w:type="dxa"/>
        </w:tblCellMar>
      </w:tblPrEx>
      <w:trPr>
        <w:trHeight w:val="280"/>
      </w:trPr>
      <w:tc>
        <w:tcPr>
          <w:tcW w:w="10226" w:type="dxa"/>
          <w:gridSpan w:val="2"/>
          <w:tcBorders>
            <w:left w:val="single" w:sz="4" w:space="0" w:color="auto"/>
            <w:bottom w:val="single" w:sz="4" w:space="0" w:color="auto"/>
            <w:right w:val="single" w:sz="4" w:space="0" w:color="auto"/>
          </w:tcBorders>
          <w:shd w:val="clear" w:color="auto" w:fill="auto"/>
          <w:vAlign w:val="center"/>
        </w:tcPr>
        <w:p w:rsidR="009056F2" w:rsidRDefault="009056F2" w:rsidP="009056F2">
          <w:pPr>
            <w:pStyle w:val="Altbilgi"/>
            <w:jc w:val="center"/>
          </w:pPr>
          <w:r>
            <w:t>Fatih Mah. Serdaroğlu Sk. No: 2  Kahramankazan / ANKARA</w:t>
          </w:r>
        </w:p>
      </w:tc>
    </w:tr>
  </w:tbl>
  <w:p w:rsidR="009056F2" w:rsidRDefault="009056F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6F2" w:rsidRDefault="009056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6F2" w:rsidRDefault="009056F2" w:rsidP="009056F2">
      <w:pPr>
        <w:spacing w:after="0" w:line="240" w:lineRule="auto"/>
      </w:pPr>
      <w:r>
        <w:separator/>
      </w:r>
    </w:p>
  </w:footnote>
  <w:footnote w:type="continuationSeparator" w:id="0">
    <w:p w:rsidR="009056F2" w:rsidRDefault="009056F2" w:rsidP="00905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6F2" w:rsidRDefault="009056F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6F2" w:rsidRPr="009056F2" w:rsidRDefault="009056F2" w:rsidP="009056F2">
    <w:pPr>
      <w:pStyle w:val="stbilgi"/>
      <w:pBdr>
        <w:top w:val="single" w:sz="4" w:space="1" w:color="auto"/>
        <w:left w:val="single" w:sz="4" w:space="4" w:color="auto"/>
        <w:bottom w:val="single" w:sz="4" w:space="1" w:color="auto"/>
        <w:right w:val="single" w:sz="4" w:space="4" w:color="auto"/>
      </w:pBdr>
      <w:spacing w:after="200"/>
      <w:jc w:val="center"/>
      <w:rPr>
        <w:b/>
      </w:rPr>
    </w:pPr>
    <w:r w:rsidRPr="009056F2">
      <w:rPr>
        <w:b/>
      </w:rPr>
      <w:t>Kaynak İşleri İş Sağlığı Ve Güvenliği Talimatı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6F2" w:rsidRDefault="009056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F2"/>
    <w:rsid w:val="005A3833"/>
    <w:rsid w:val="009056F2"/>
    <w:rsid w:val="00C56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B44DB-8092-491C-973F-01633891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56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56F2"/>
  </w:style>
  <w:style w:type="paragraph" w:styleId="Altbilgi">
    <w:name w:val="footer"/>
    <w:basedOn w:val="Normal"/>
    <w:link w:val="AltbilgiChar"/>
    <w:uiPriority w:val="99"/>
    <w:unhideWhenUsed/>
    <w:rsid w:val="009056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5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2022-02-10T13:19:00Z</dcterms:created>
  <dcterms:modified xsi:type="dcterms:W3CDTF">2022-02-10T13:19:00Z</dcterms:modified>
</cp:coreProperties>
</file>